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A5F2B" w:rsidRPr="005E181F" w:rsidRDefault="00E24098" w:rsidP="00EA5F2B">
      <w:pPr>
        <w:jc w:val="center"/>
        <w:rPr>
          <w:rFonts w:cs="Times New Roman"/>
          <w:b/>
          <w:szCs w:val="24"/>
        </w:rPr>
      </w:pPr>
      <w:r w:rsidRPr="005E181F">
        <w:rPr>
          <w:rFonts w:cs="Times New Roman"/>
          <w:b/>
          <w:szCs w:val="24"/>
        </w:rPr>
        <w:t>Probability Puzzle</w:t>
      </w:r>
    </w:p>
    <w:p w:rsidR="00EA5F2B" w:rsidRPr="005E181F" w:rsidRDefault="00EA5F2B" w:rsidP="00EA5F2B">
      <w:pPr>
        <w:jc w:val="center"/>
        <w:rPr>
          <w:rFonts w:cs="Times New Roman"/>
          <w:b/>
          <w:szCs w:val="24"/>
        </w:rPr>
      </w:pPr>
    </w:p>
    <w:p w:rsidR="00EA5F2B" w:rsidRPr="005E181F" w:rsidRDefault="00EA5F2B" w:rsidP="00EA5F2B">
      <w:pPr>
        <w:jc w:val="center"/>
        <w:rPr>
          <w:rFonts w:cs="Times New Roman"/>
          <w:b/>
          <w:szCs w:val="24"/>
        </w:rPr>
      </w:pPr>
    </w:p>
    <w:p w:rsidR="00EA5F2B" w:rsidRPr="005E181F" w:rsidRDefault="00E24098" w:rsidP="00EA5F2B">
      <w:pPr>
        <w:jc w:val="center"/>
        <w:rPr>
          <w:rFonts w:cs="Times New Roman"/>
          <w:szCs w:val="24"/>
        </w:rPr>
      </w:pPr>
      <w:r w:rsidRPr="005E181F">
        <w:rPr>
          <w:rFonts w:cs="Times New Roman"/>
          <w:szCs w:val="24"/>
        </w:rPr>
        <w:t xml:space="preserve">Name </w:t>
      </w:r>
    </w:p>
    <w:p w:rsidR="00EA5F2B" w:rsidRPr="005E181F" w:rsidRDefault="00E24098" w:rsidP="00EA5F2B">
      <w:pPr>
        <w:jc w:val="center"/>
        <w:rPr>
          <w:rFonts w:cs="Times New Roman"/>
          <w:szCs w:val="24"/>
        </w:rPr>
      </w:pPr>
      <w:r w:rsidRPr="005E181F">
        <w:rPr>
          <w:rFonts w:cs="Times New Roman"/>
          <w:szCs w:val="24"/>
        </w:rPr>
        <w:t>Affiliation</w:t>
      </w:r>
    </w:p>
    <w:p w:rsidR="00EA5F2B" w:rsidRPr="005E181F" w:rsidRDefault="00E24098" w:rsidP="00EA5F2B">
      <w:pPr>
        <w:jc w:val="center"/>
        <w:rPr>
          <w:rFonts w:cs="Times New Roman"/>
          <w:szCs w:val="24"/>
        </w:rPr>
      </w:pPr>
      <w:r w:rsidRPr="005E181F">
        <w:rPr>
          <w:rFonts w:cs="Times New Roman"/>
          <w:szCs w:val="24"/>
        </w:rPr>
        <w:t>Date</w:t>
      </w:r>
    </w:p>
    <w:p w:rsidR="00EA5F2B" w:rsidRPr="005E181F" w:rsidRDefault="00EA5F2B" w:rsidP="00EA5F2B">
      <w:pPr>
        <w:jc w:val="center"/>
        <w:rPr>
          <w:rFonts w:cs="Times New Roman"/>
          <w:szCs w:val="24"/>
        </w:rPr>
      </w:pPr>
    </w:p>
    <w:p w:rsidR="00EA5F2B" w:rsidRPr="005E181F" w:rsidRDefault="00EA5F2B" w:rsidP="00EA5F2B">
      <w:pPr>
        <w:jc w:val="center"/>
        <w:rPr>
          <w:rFonts w:cs="Times New Roman"/>
          <w:szCs w:val="24"/>
        </w:rPr>
      </w:pPr>
    </w:p>
    <w:p w:rsidR="00EA5F2B" w:rsidRPr="005E181F" w:rsidRDefault="00EA5F2B" w:rsidP="00EA5F2B">
      <w:pPr>
        <w:jc w:val="center"/>
        <w:rPr>
          <w:rFonts w:cs="Times New Roman"/>
          <w:szCs w:val="24"/>
        </w:rPr>
      </w:pPr>
    </w:p>
    <w:p w:rsidR="00EA5F2B" w:rsidRPr="005E181F" w:rsidRDefault="00EA5F2B" w:rsidP="00EA5F2B">
      <w:pPr>
        <w:jc w:val="center"/>
        <w:rPr>
          <w:rFonts w:cs="Times New Roman"/>
          <w:szCs w:val="24"/>
        </w:rPr>
      </w:pPr>
    </w:p>
    <w:p w:rsidR="00EA5F2B" w:rsidRPr="005E181F" w:rsidRDefault="00EA5F2B" w:rsidP="00EA5F2B">
      <w:pPr>
        <w:jc w:val="center"/>
        <w:rPr>
          <w:rFonts w:cs="Times New Roman"/>
          <w:szCs w:val="24"/>
        </w:rPr>
      </w:pPr>
    </w:p>
    <w:p w:rsidR="00EA5F2B" w:rsidRPr="005E181F" w:rsidRDefault="00EA5F2B" w:rsidP="00EA5F2B">
      <w:pPr>
        <w:jc w:val="center"/>
        <w:rPr>
          <w:rFonts w:cs="Times New Roman"/>
          <w:szCs w:val="24"/>
        </w:rPr>
      </w:pPr>
    </w:p>
    <w:p w:rsidR="00EA5F2B" w:rsidRPr="005E181F" w:rsidRDefault="00EA5F2B" w:rsidP="00EA5F2B">
      <w:pPr>
        <w:jc w:val="center"/>
        <w:rPr>
          <w:rFonts w:cs="Times New Roman"/>
          <w:szCs w:val="24"/>
        </w:rPr>
      </w:pPr>
    </w:p>
    <w:p w:rsidR="00EA5F2B" w:rsidRPr="005E181F" w:rsidRDefault="00EA5F2B" w:rsidP="00EA5F2B">
      <w:pPr>
        <w:jc w:val="center"/>
        <w:rPr>
          <w:rFonts w:cs="Times New Roman"/>
          <w:szCs w:val="24"/>
        </w:rPr>
      </w:pPr>
    </w:p>
    <w:p w:rsidR="00EA5F2B" w:rsidRPr="005E181F" w:rsidRDefault="00EA5F2B" w:rsidP="00EA5F2B">
      <w:pPr>
        <w:jc w:val="center"/>
        <w:rPr>
          <w:rFonts w:cs="Times New Roman"/>
          <w:szCs w:val="24"/>
        </w:rPr>
      </w:pPr>
    </w:p>
    <w:p w:rsidR="00EA5F2B" w:rsidRPr="005E181F" w:rsidRDefault="00EA5F2B" w:rsidP="00EA5F2B">
      <w:pPr>
        <w:jc w:val="center"/>
        <w:rPr>
          <w:rFonts w:cs="Times New Roman"/>
          <w:szCs w:val="24"/>
        </w:rPr>
      </w:pPr>
    </w:p>
    <w:p w:rsidR="00EA5F2B" w:rsidRPr="005E181F" w:rsidRDefault="00EA5F2B" w:rsidP="00EA5F2B">
      <w:pPr>
        <w:jc w:val="center"/>
        <w:rPr>
          <w:rFonts w:cs="Times New Roman"/>
          <w:szCs w:val="24"/>
        </w:rPr>
      </w:pPr>
    </w:p>
    <w:p w:rsidR="00EA5F2B" w:rsidRPr="005E181F" w:rsidRDefault="00EA5F2B" w:rsidP="00EA5F2B">
      <w:pPr>
        <w:jc w:val="center"/>
        <w:rPr>
          <w:rFonts w:cs="Times New Roman"/>
          <w:szCs w:val="24"/>
        </w:rPr>
      </w:pPr>
    </w:p>
    <w:p w:rsidR="00EA5F2B" w:rsidRPr="005E181F" w:rsidRDefault="00E24098" w:rsidP="00EA5F2B">
      <w:pPr>
        <w:jc w:val="center"/>
        <w:rPr>
          <w:rFonts w:cs="Times New Roman"/>
          <w:b/>
          <w:szCs w:val="24"/>
        </w:rPr>
      </w:pPr>
      <w:r w:rsidRPr="005E181F">
        <w:rPr>
          <w:rFonts w:cs="Times New Roman"/>
          <w:b/>
          <w:szCs w:val="24"/>
        </w:rPr>
        <w:t>Probability Puzzle</w:t>
      </w:r>
    </w:p>
    <w:p w:rsidR="00C82E63" w:rsidRPr="005E181F" w:rsidRDefault="00E24098" w:rsidP="00EA5F2B">
      <w:pPr>
        <w:rPr>
          <w:rFonts w:cs="Times New Roman"/>
          <w:b/>
          <w:szCs w:val="24"/>
        </w:rPr>
      </w:pPr>
      <w:r w:rsidRPr="005E181F">
        <w:rPr>
          <w:rFonts w:cs="Times New Roman"/>
          <w:b/>
          <w:szCs w:val="24"/>
        </w:rPr>
        <w:lastRenderedPageBreak/>
        <w:t>Part One</w:t>
      </w:r>
    </w:p>
    <w:p w:rsidR="00EA5F2B" w:rsidRPr="005E181F" w:rsidRDefault="00E24098" w:rsidP="00C82E63">
      <w:pPr>
        <w:ind w:firstLine="720"/>
        <w:rPr>
          <w:rFonts w:cs="Times New Roman"/>
          <w:szCs w:val="24"/>
        </w:rPr>
      </w:pPr>
      <w:r w:rsidRPr="005E181F">
        <w:rPr>
          <w:rFonts w:cs="Times New Roman"/>
          <w:szCs w:val="24"/>
        </w:rPr>
        <w:t xml:space="preserve">The </w:t>
      </w:r>
      <w:r w:rsidR="00817D48" w:rsidRPr="005E181F">
        <w:rPr>
          <w:rFonts w:cs="Times New Roman"/>
          <w:szCs w:val="24"/>
        </w:rPr>
        <w:t>Monty</w:t>
      </w:r>
      <w:r w:rsidRPr="005E181F">
        <w:rPr>
          <w:rFonts w:cs="Times New Roman"/>
          <w:szCs w:val="24"/>
        </w:rPr>
        <w:t xml:space="preserve"> hall challenge is a brain teaser, and it is in the form of a possibility </w:t>
      </w:r>
      <w:r w:rsidR="00817D48" w:rsidRPr="005E181F">
        <w:rPr>
          <w:rFonts w:cs="Times New Roman"/>
          <w:szCs w:val="24"/>
        </w:rPr>
        <w:t>puzzle. According</w:t>
      </w:r>
      <w:r w:rsidR="002665AD" w:rsidRPr="005E181F">
        <w:rPr>
          <w:rFonts w:cs="Times New Roman"/>
          <w:szCs w:val="24"/>
        </w:rPr>
        <w:t xml:space="preserve"> to my understanding of probability, I will switch to the other </w:t>
      </w:r>
      <w:r w:rsidR="00817D48" w:rsidRPr="005E181F">
        <w:rPr>
          <w:rFonts w:cs="Times New Roman"/>
          <w:szCs w:val="24"/>
        </w:rPr>
        <w:t>door. Using</w:t>
      </w:r>
      <w:r w:rsidR="002665AD" w:rsidRPr="005E181F">
        <w:rPr>
          <w:rFonts w:cs="Times New Roman"/>
          <w:szCs w:val="24"/>
        </w:rPr>
        <w:t xml:space="preserve"> typical </w:t>
      </w:r>
      <w:r w:rsidR="00817D48" w:rsidRPr="005E181F">
        <w:rPr>
          <w:rFonts w:cs="Times New Roman"/>
          <w:szCs w:val="24"/>
        </w:rPr>
        <w:t>assumptions, when</w:t>
      </w:r>
      <w:r w:rsidR="002665AD" w:rsidRPr="005E181F">
        <w:rPr>
          <w:rFonts w:cs="Times New Roman"/>
          <w:szCs w:val="24"/>
        </w:rPr>
        <w:t xml:space="preserve"> I switch to the other door, I will have a two-third chance of winning a </w:t>
      </w:r>
      <w:r w:rsidR="00817D48" w:rsidRPr="005E181F">
        <w:rPr>
          <w:rFonts w:cs="Times New Roman"/>
          <w:szCs w:val="24"/>
        </w:rPr>
        <w:t>car. However</w:t>
      </w:r>
      <w:r w:rsidR="002665AD" w:rsidRPr="005E181F">
        <w:rPr>
          <w:rFonts w:cs="Times New Roman"/>
          <w:szCs w:val="24"/>
        </w:rPr>
        <w:t>, if I stick with the first choice, my chances of winning a vehicle will reduce to one third. The Monty hall probabilities depend on certain assumptions about how a contestant and a host select their door. The application of average conditions implies that there is less information about door three than door two</w:t>
      </w:r>
      <w:r w:rsidR="00817D48" w:rsidRPr="005E181F">
        <w:rPr>
          <w:rFonts w:cs="Times New Roman"/>
          <w:szCs w:val="24"/>
        </w:rPr>
        <w:t xml:space="preserve"> than was available at the start of the game</w:t>
      </w:r>
      <w:r w:rsidR="005E181F" w:rsidRPr="005E181F">
        <w:rPr>
          <w:rFonts w:cs="Times New Roman"/>
          <w:szCs w:val="24"/>
          <w:shd w:val="clear" w:color="auto" w:fill="FFFFFF"/>
        </w:rPr>
        <w:t xml:space="preserve"> (Vasko, 2012)</w:t>
      </w:r>
      <w:r w:rsidR="00817D48" w:rsidRPr="005E181F">
        <w:rPr>
          <w:rFonts w:cs="Times New Roman"/>
          <w:szCs w:val="24"/>
        </w:rPr>
        <w:t>. The host also does not eliminate the remaining door, but he adds value to the door that the contestant has chosen. Besides, there is also a considerable difference between selecting between the two remaining doors and switching doors. The insight mentioned earlier is vital since the last action uses additional information, while the first action omits it. The use of other possible behaviors will also reveal distinctive additional data hence resulting in a different ou</w:t>
      </w:r>
      <w:r w:rsidR="00C82E63" w:rsidRPr="005E181F">
        <w:rPr>
          <w:rFonts w:cs="Times New Roman"/>
          <w:szCs w:val="24"/>
        </w:rPr>
        <w:t>tcome</w:t>
      </w:r>
      <w:r w:rsidR="005E181F" w:rsidRPr="005E181F">
        <w:rPr>
          <w:rFonts w:cs="Times New Roman"/>
          <w:szCs w:val="24"/>
          <w:shd w:val="clear" w:color="auto" w:fill="FFFFFF"/>
        </w:rPr>
        <w:t xml:space="preserve"> ("Readers' challenge report: The Monty hall problem," 2013)</w:t>
      </w:r>
      <w:r w:rsidR="00C82E63" w:rsidRPr="005E181F">
        <w:rPr>
          <w:rFonts w:cs="Times New Roman"/>
          <w:szCs w:val="24"/>
        </w:rPr>
        <w:t>.</w:t>
      </w:r>
    </w:p>
    <w:p w:rsidR="00C82E63" w:rsidRPr="005E181F" w:rsidRDefault="00E24098" w:rsidP="00C82E63">
      <w:pPr>
        <w:rPr>
          <w:rFonts w:cs="Times New Roman"/>
          <w:b/>
          <w:szCs w:val="24"/>
        </w:rPr>
      </w:pPr>
      <w:r w:rsidRPr="005E181F">
        <w:rPr>
          <w:rFonts w:cs="Times New Roman"/>
          <w:b/>
          <w:szCs w:val="24"/>
        </w:rPr>
        <w:t>Part Two</w:t>
      </w:r>
    </w:p>
    <w:p w:rsidR="00C82E63" w:rsidRPr="005E181F" w:rsidRDefault="00E24098" w:rsidP="00C82E63">
      <w:pPr>
        <w:rPr>
          <w:rFonts w:cs="Times New Roman"/>
          <w:szCs w:val="24"/>
        </w:rPr>
      </w:pPr>
      <w:r w:rsidRPr="005E181F">
        <w:rPr>
          <w:rFonts w:cs="Times New Roman"/>
          <w:b/>
          <w:szCs w:val="24"/>
        </w:rPr>
        <w:tab/>
      </w:r>
      <w:r w:rsidRPr="005E181F">
        <w:rPr>
          <w:rFonts w:cs="Times New Roman"/>
          <w:szCs w:val="24"/>
        </w:rPr>
        <w:t xml:space="preserve">ACOs are </w:t>
      </w:r>
      <w:r w:rsidR="00000E08" w:rsidRPr="005E181F">
        <w:rPr>
          <w:rFonts w:cs="Times New Roman"/>
          <w:szCs w:val="24"/>
        </w:rPr>
        <w:t>groups</w:t>
      </w:r>
      <w:r w:rsidRPr="005E181F">
        <w:rPr>
          <w:rFonts w:cs="Times New Roman"/>
          <w:szCs w:val="24"/>
        </w:rPr>
        <w:t xml:space="preserve"> of healthcare </w:t>
      </w:r>
      <w:r w:rsidR="00000E08" w:rsidRPr="005E181F">
        <w:rPr>
          <w:rFonts w:cs="Times New Roman"/>
          <w:szCs w:val="24"/>
        </w:rPr>
        <w:t>providers, doctors</w:t>
      </w:r>
      <w:r w:rsidRPr="005E181F">
        <w:rPr>
          <w:rFonts w:cs="Times New Roman"/>
          <w:szCs w:val="24"/>
        </w:rPr>
        <w:t xml:space="preserve">, and </w:t>
      </w:r>
      <w:r w:rsidR="00000E08" w:rsidRPr="005E181F">
        <w:rPr>
          <w:rFonts w:cs="Times New Roman"/>
          <w:szCs w:val="24"/>
        </w:rPr>
        <w:t>hospitals who</w:t>
      </w:r>
      <w:r w:rsidRPr="005E181F">
        <w:rPr>
          <w:rFonts w:cs="Times New Roman"/>
          <w:szCs w:val="24"/>
        </w:rPr>
        <w:t xml:space="preserve"> form a voluntary</w:t>
      </w:r>
      <w:r w:rsidR="00000E08" w:rsidRPr="005E181F">
        <w:rPr>
          <w:rFonts w:cs="Times New Roman"/>
          <w:szCs w:val="24"/>
        </w:rPr>
        <w:t xml:space="preserve"> joint to synchronize high-quality care to the patient with an illness</w:t>
      </w:r>
      <w:r w:rsidR="005E181F" w:rsidRPr="005E181F">
        <w:rPr>
          <w:rFonts w:cs="Times New Roman"/>
          <w:szCs w:val="24"/>
          <w:shd w:val="clear" w:color="auto" w:fill="FFFFFF"/>
        </w:rPr>
        <w:t xml:space="preserve"> (Kelleher et al., 2015)</w:t>
      </w:r>
      <w:r w:rsidR="00000E08" w:rsidRPr="005E181F">
        <w:rPr>
          <w:rFonts w:cs="Times New Roman"/>
          <w:szCs w:val="24"/>
        </w:rPr>
        <w:t xml:space="preserve">. </w:t>
      </w:r>
      <w:r w:rsidR="006038E4" w:rsidRPr="005E181F">
        <w:rPr>
          <w:rFonts w:cs="Times New Roman"/>
          <w:szCs w:val="24"/>
        </w:rPr>
        <w:t>A</w:t>
      </w:r>
      <w:r w:rsidR="00000E08" w:rsidRPr="005E181F">
        <w:rPr>
          <w:rFonts w:cs="Times New Roman"/>
          <w:szCs w:val="24"/>
        </w:rPr>
        <w:t xml:space="preserve"> </w:t>
      </w:r>
      <w:r w:rsidR="006038E4" w:rsidRPr="005E181F">
        <w:rPr>
          <w:rFonts w:cs="Times New Roman"/>
          <w:szCs w:val="24"/>
        </w:rPr>
        <w:t>responsible</w:t>
      </w:r>
      <w:r w:rsidRPr="005E181F">
        <w:rPr>
          <w:rFonts w:cs="Times New Roman"/>
          <w:szCs w:val="24"/>
        </w:rPr>
        <w:t xml:space="preserve"> care </w:t>
      </w:r>
      <w:r w:rsidR="006038E4" w:rsidRPr="005E181F">
        <w:rPr>
          <w:rFonts w:cs="Times New Roman"/>
          <w:szCs w:val="24"/>
        </w:rPr>
        <w:t>association</w:t>
      </w:r>
      <w:r w:rsidRPr="005E181F">
        <w:rPr>
          <w:rFonts w:cs="Times New Roman"/>
          <w:szCs w:val="24"/>
        </w:rPr>
        <w:t xml:space="preserve"> is a network of hospitals and doctors that </w:t>
      </w:r>
      <w:r w:rsidR="006038E4" w:rsidRPr="005E181F">
        <w:rPr>
          <w:rFonts w:cs="Times New Roman"/>
          <w:szCs w:val="24"/>
        </w:rPr>
        <w:t>portion</w:t>
      </w:r>
      <w:r w:rsidRPr="005E181F">
        <w:rPr>
          <w:rFonts w:cs="Times New Roman"/>
          <w:szCs w:val="24"/>
        </w:rPr>
        <w:t xml:space="preserve"> </w:t>
      </w:r>
      <w:r w:rsidR="006038E4" w:rsidRPr="005E181F">
        <w:rPr>
          <w:rFonts w:cs="Times New Roman"/>
          <w:szCs w:val="24"/>
        </w:rPr>
        <w:t>therapeutic</w:t>
      </w:r>
      <w:r w:rsidRPr="005E181F">
        <w:rPr>
          <w:rFonts w:cs="Times New Roman"/>
          <w:szCs w:val="24"/>
        </w:rPr>
        <w:t xml:space="preserve"> and </w:t>
      </w:r>
      <w:r w:rsidR="006038E4" w:rsidRPr="005E181F">
        <w:rPr>
          <w:rStyle w:val="SubtitleChar"/>
          <w:rFonts w:ascii="Times New Roman" w:hAnsi="Times New Roman" w:cs="Times New Roman"/>
          <w:color w:val="auto"/>
          <w:sz w:val="24"/>
          <w:szCs w:val="24"/>
        </w:rPr>
        <w:t>monetary</w:t>
      </w:r>
      <w:r w:rsidRPr="005E181F">
        <w:rPr>
          <w:rStyle w:val="SubtitleChar"/>
          <w:rFonts w:ascii="Times New Roman" w:hAnsi="Times New Roman" w:cs="Times New Roman"/>
          <w:color w:val="auto"/>
          <w:sz w:val="24"/>
          <w:szCs w:val="24"/>
        </w:rPr>
        <w:t xml:space="preserve"> </w:t>
      </w:r>
      <w:r w:rsidR="006038E4" w:rsidRPr="005E181F">
        <w:rPr>
          <w:rFonts w:cs="Times New Roman"/>
          <w:szCs w:val="24"/>
        </w:rPr>
        <w:t>accountability by delivering synchronized</w:t>
      </w:r>
      <w:r w:rsidRPr="005E181F">
        <w:rPr>
          <w:rFonts w:cs="Times New Roman"/>
          <w:szCs w:val="24"/>
        </w:rPr>
        <w:t xml:space="preserve"> </w:t>
      </w:r>
      <w:r w:rsidR="006038E4" w:rsidRPr="005E181F">
        <w:rPr>
          <w:rFonts w:cs="Times New Roman"/>
          <w:szCs w:val="24"/>
        </w:rPr>
        <w:t xml:space="preserve">medical </w:t>
      </w:r>
      <w:r w:rsidRPr="005E181F">
        <w:rPr>
          <w:rFonts w:cs="Times New Roman"/>
          <w:szCs w:val="24"/>
        </w:rPr>
        <w:t>care to patients</w:t>
      </w:r>
      <w:r w:rsidR="00000E08" w:rsidRPr="005E181F">
        <w:rPr>
          <w:rFonts w:cs="Times New Roman"/>
          <w:szCs w:val="24"/>
        </w:rPr>
        <w:t xml:space="preserve"> to eliminate useless</w:t>
      </w:r>
      <w:r w:rsidRPr="005E181F">
        <w:rPr>
          <w:rFonts w:cs="Times New Roman"/>
          <w:szCs w:val="24"/>
        </w:rPr>
        <w:t xml:space="preserve"> </w:t>
      </w:r>
      <w:r w:rsidR="00000E08" w:rsidRPr="005E181F">
        <w:rPr>
          <w:rFonts w:cs="Times New Roman"/>
          <w:szCs w:val="24"/>
        </w:rPr>
        <w:t>spending. A provider network is a list of healthcare providers who are contracted by the insurance company for the provision of medical care to clients enrolled in the plans offered by the insurer.in-network providers can also mean medical facilities, other health care providers, and doctors</w:t>
      </w:r>
      <w:r w:rsidR="00CB57B6" w:rsidRPr="005E181F">
        <w:rPr>
          <w:rFonts w:cs="Times New Roman"/>
          <w:szCs w:val="24"/>
        </w:rPr>
        <w:t>.</w:t>
      </w:r>
    </w:p>
    <w:p w:rsidR="00CB57B6" w:rsidRPr="005E181F" w:rsidRDefault="00E24098" w:rsidP="00C82E63">
      <w:pPr>
        <w:rPr>
          <w:rFonts w:cs="Times New Roman"/>
          <w:szCs w:val="24"/>
        </w:rPr>
      </w:pPr>
      <w:r w:rsidRPr="005E181F">
        <w:rPr>
          <w:rFonts w:cs="Times New Roman"/>
          <w:szCs w:val="24"/>
        </w:rPr>
        <w:lastRenderedPageBreak/>
        <w:t xml:space="preserve"> Provider networks have a series of advantages, including being part of a highly </w:t>
      </w:r>
      <w:r w:rsidR="00AB4EB5" w:rsidRPr="005E181F">
        <w:rPr>
          <w:rFonts w:cs="Times New Roman"/>
          <w:szCs w:val="24"/>
        </w:rPr>
        <w:t>motivated, patient</w:t>
      </w:r>
      <w:r w:rsidRPr="005E181F">
        <w:rPr>
          <w:rFonts w:cs="Times New Roman"/>
          <w:szCs w:val="24"/>
        </w:rPr>
        <w:t xml:space="preserve">-oriented team that upkeeps about providing quality </w:t>
      </w:r>
      <w:r w:rsidR="00AB4EB5" w:rsidRPr="005E181F">
        <w:rPr>
          <w:rFonts w:cs="Times New Roman"/>
          <w:szCs w:val="24"/>
        </w:rPr>
        <w:t>services</w:t>
      </w:r>
      <w:r w:rsidRPr="005E181F">
        <w:rPr>
          <w:rFonts w:cs="Times New Roman"/>
          <w:szCs w:val="24"/>
        </w:rPr>
        <w:t xml:space="preserve"> that value to </w:t>
      </w:r>
      <w:r w:rsidR="00AB4EB5" w:rsidRPr="005E181F">
        <w:rPr>
          <w:rFonts w:cs="Times New Roman"/>
          <w:szCs w:val="24"/>
        </w:rPr>
        <w:t>patients. Also</w:t>
      </w:r>
      <w:r w:rsidRPr="005E181F">
        <w:rPr>
          <w:rFonts w:cs="Times New Roman"/>
          <w:szCs w:val="24"/>
        </w:rPr>
        <w:t xml:space="preserve"> provide networks helps to keep patients healthy through shared </w:t>
      </w:r>
      <w:r w:rsidR="00AB4EB5" w:rsidRPr="005E181F">
        <w:rPr>
          <w:rFonts w:cs="Times New Roman"/>
          <w:szCs w:val="24"/>
        </w:rPr>
        <w:t>protocols, care</w:t>
      </w:r>
      <w:r w:rsidRPr="005E181F">
        <w:rPr>
          <w:rFonts w:cs="Times New Roman"/>
          <w:szCs w:val="24"/>
        </w:rPr>
        <w:t xml:space="preserve"> management, and care </w:t>
      </w:r>
      <w:r w:rsidR="00AB4EB5" w:rsidRPr="005E181F">
        <w:rPr>
          <w:rFonts w:cs="Times New Roman"/>
          <w:szCs w:val="24"/>
        </w:rPr>
        <w:t>plans. The majority</w:t>
      </w:r>
      <w:r w:rsidRPr="005E181F">
        <w:rPr>
          <w:rFonts w:cs="Times New Roman"/>
          <w:szCs w:val="24"/>
        </w:rPr>
        <w:t xml:space="preserve"> o</w:t>
      </w:r>
      <w:r w:rsidR="00AB4EB5" w:rsidRPr="005E181F">
        <w:rPr>
          <w:rFonts w:cs="Times New Roman"/>
          <w:szCs w:val="24"/>
        </w:rPr>
        <w:t>f provider networks are 100 perc</w:t>
      </w:r>
      <w:r w:rsidRPr="005E181F">
        <w:rPr>
          <w:rFonts w:cs="Times New Roman"/>
          <w:szCs w:val="24"/>
        </w:rPr>
        <w:t xml:space="preserve">ent free schedule </w:t>
      </w:r>
      <w:r w:rsidR="00AB4EB5" w:rsidRPr="005E181F">
        <w:rPr>
          <w:rFonts w:cs="Times New Roman"/>
          <w:szCs w:val="24"/>
        </w:rPr>
        <w:t>compensation. On top of that, they provide a chance to work with locals on leadership that understands the difficulties and offer rewards. Some of the advantages of these providers to hospitals include accurate and prompt claim payment. Also, there is a reduction of potentially avoidable uses for PQI diagnosis and lowers monthly readmission rates. Besides, the network provider decreases the length of stay for a patient and facilitates communication from the community clinical team, thus updating the patient's information and providing coordinated care to ill ones</w:t>
      </w:r>
      <w:r w:rsidR="005E181F" w:rsidRPr="005E181F">
        <w:rPr>
          <w:rFonts w:cs="Times New Roman"/>
          <w:szCs w:val="24"/>
          <w:shd w:val="clear" w:color="auto" w:fill="FFFFFF"/>
        </w:rPr>
        <w:t xml:space="preserve"> (Corlette et al., 2015)</w:t>
      </w:r>
      <w:r w:rsidR="00AB4EB5" w:rsidRPr="005E181F">
        <w:rPr>
          <w:rFonts w:cs="Times New Roman"/>
          <w:szCs w:val="24"/>
        </w:rPr>
        <w:t xml:space="preserve">. </w:t>
      </w:r>
    </w:p>
    <w:p w:rsidR="00AB4EB5" w:rsidRPr="005E181F" w:rsidRDefault="00E24098" w:rsidP="00C82E63">
      <w:pPr>
        <w:rPr>
          <w:rFonts w:cs="Times New Roman"/>
          <w:szCs w:val="24"/>
        </w:rPr>
      </w:pPr>
      <w:r w:rsidRPr="005E181F">
        <w:rPr>
          <w:rFonts w:cs="Times New Roman"/>
          <w:szCs w:val="24"/>
        </w:rPr>
        <w:tab/>
        <w:t xml:space="preserve">In-network provider also offers a series of advantages to doctors </w:t>
      </w:r>
      <w:r w:rsidR="00EC676F" w:rsidRPr="005E181F">
        <w:rPr>
          <w:rFonts w:cs="Times New Roman"/>
          <w:szCs w:val="24"/>
        </w:rPr>
        <w:t>and health care providers. First, there is a provision of better health outcomes and quality care for patients as measured by hospital use rates and HEDIS scores. Network providers also serve as a source of additional patients to coordinate hospitals. The other advantage is that it is a provider-friendly pre-authorization process that offers long-term facility care authorization. Besides, the in-network provider provides a health care team that includes coordination and case management in consultation with the patient.</w:t>
      </w:r>
    </w:p>
    <w:p w:rsidR="00EC676F" w:rsidRPr="005E181F" w:rsidRDefault="00E24098" w:rsidP="00C82E63">
      <w:pPr>
        <w:rPr>
          <w:rFonts w:cs="Times New Roman"/>
          <w:szCs w:val="24"/>
        </w:rPr>
      </w:pPr>
      <w:r w:rsidRPr="005E181F">
        <w:rPr>
          <w:rFonts w:cs="Times New Roman"/>
          <w:szCs w:val="24"/>
        </w:rPr>
        <w:tab/>
      </w:r>
      <w:r w:rsidR="00A424E3" w:rsidRPr="005E181F">
        <w:rPr>
          <w:rFonts w:cs="Times New Roman"/>
          <w:szCs w:val="24"/>
        </w:rPr>
        <w:t>PPO's primary characteristic is that it allows its members to visit any physician or hospital without referrals from PCP. In-network provider, it creates room for the patients to make their own healthcare decisions. The provider also offers flexibility in doctor selection, which is limited in HMO. Also, the patients can decide to be admitted to any facility or hospital regarding their choice. There is also a reduced need to undertake primary care physicians since a patient can directly choose a doctor</w:t>
      </w:r>
      <w:r w:rsidR="00CF1B8D" w:rsidRPr="005E181F">
        <w:rPr>
          <w:rFonts w:cs="Times New Roman"/>
          <w:szCs w:val="24"/>
        </w:rPr>
        <w:t xml:space="preserve">. In-network, the provider also offers the required balance of quality </w:t>
      </w:r>
      <w:r w:rsidR="00CF1B8D" w:rsidRPr="005E181F">
        <w:rPr>
          <w:rFonts w:cs="Times New Roman"/>
          <w:szCs w:val="24"/>
        </w:rPr>
        <w:lastRenderedPageBreak/>
        <w:t>and reasonably priced through negotiating prices with hospitals and doctors in the system. The agreements between the insurance company and network provider save the patient's money. In conclusion, an in-network provider's services are at a lower rate and provide streamlined expenses</w:t>
      </w:r>
      <w:r w:rsidR="005E181F" w:rsidRPr="005E181F">
        <w:rPr>
          <w:rFonts w:cs="Times New Roman"/>
          <w:szCs w:val="24"/>
          <w:shd w:val="clear" w:color="auto" w:fill="FFFFFF"/>
        </w:rPr>
        <w:t xml:space="preserve"> (Cooper et al., 2020)</w:t>
      </w:r>
      <w:r w:rsidR="00CF1B8D" w:rsidRPr="005E181F">
        <w:rPr>
          <w:rFonts w:cs="Times New Roman"/>
          <w:szCs w:val="24"/>
        </w:rPr>
        <w:t>.</w:t>
      </w:r>
    </w:p>
    <w:p w:rsidR="005E181F" w:rsidRPr="005E181F" w:rsidRDefault="005E181F" w:rsidP="00C82E63">
      <w:pPr>
        <w:rPr>
          <w:rFonts w:cs="Times New Roman"/>
          <w:szCs w:val="24"/>
        </w:rPr>
      </w:pPr>
    </w:p>
    <w:p w:rsidR="005E181F" w:rsidRPr="005E181F" w:rsidRDefault="005E181F" w:rsidP="00C82E63">
      <w:pPr>
        <w:rPr>
          <w:rFonts w:cs="Times New Roman"/>
          <w:szCs w:val="24"/>
        </w:rPr>
      </w:pPr>
    </w:p>
    <w:p w:rsidR="005E181F" w:rsidRPr="005E181F" w:rsidRDefault="005E181F" w:rsidP="00C82E63">
      <w:pPr>
        <w:rPr>
          <w:rFonts w:cs="Times New Roman"/>
          <w:szCs w:val="24"/>
        </w:rPr>
      </w:pPr>
    </w:p>
    <w:p w:rsidR="005E181F" w:rsidRPr="005E181F" w:rsidRDefault="005E181F" w:rsidP="00C82E63">
      <w:pPr>
        <w:rPr>
          <w:rFonts w:cs="Times New Roman"/>
          <w:szCs w:val="24"/>
        </w:rPr>
      </w:pPr>
    </w:p>
    <w:p w:rsidR="005E181F" w:rsidRPr="005E181F" w:rsidRDefault="005E181F" w:rsidP="00C82E63">
      <w:pPr>
        <w:rPr>
          <w:rFonts w:cs="Times New Roman"/>
          <w:szCs w:val="24"/>
        </w:rPr>
      </w:pPr>
    </w:p>
    <w:p w:rsidR="005E181F" w:rsidRPr="005E181F" w:rsidRDefault="005E181F" w:rsidP="00C82E63">
      <w:pPr>
        <w:rPr>
          <w:rFonts w:cs="Times New Roman"/>
          <w:szCs w:val="24"/>
        </w:rPr>
      </w:pPr>
    </w:p>
    <w:p w:rsidR="005E181F" w:rsidRPr="005E181F" w:rsidRDefault="005E181F" w:rsidP="00C82E63">
      <w:pPr>
        <w:rPr>
          <w:rFonts w:cs="Times New Roman"/>
          <w:szCs w:val="24"/>
        </w:rPr>
      </w:pPr>
    </w:p>
    <w:p w:rsidR="005E181F" w:rsidRPr="005E181F" w:rsidRDefault="005E181F" w:rsidP="00C82E63">
      <w:pPr>
        <w:rPr>
          <w:rFonts w:cs="Times New Roman"/>
          <w:szCs w:val="24"/>
        </w:rPr>
      </w:pPr>
    </w:p>
    <w:p w:rsidR="005E181F" w:rsidRPr="005E181F" w:rsidRDefault="005E181F" w:rsidP="00C82E63">
      <w:pPr>
        <w:rPr>
          <w:rFonts w:cs="Times New Roman"/>
          <w:szCs w:val="24"/>
        </w:rPr>
      </w:pPr>
    </w:p>
    <w:p w:rsidR="005E181F" w:rsidRPr="005E181F" w:rsidRDefault="005E181F" w:rsidP="00C82E63">
      <w:pPr>
        <w:rPr>
          <w:rFonts w:cs="Times New Roman"/>
          <w:szCs w:val="24"/>
        </w:rPr>
      </w:pPr>
    </w:p>
    <w:p w:rsidR="005E181F" w:rsidRPr="005E181F" w:rsidRDefault="005E181F" w:rsidP="00C82E63">
      <w:pPr>
        <w:rPr>
          <w:rFonts w:cs="Times New Roman"/>
          <w:szCs w:val="24"/>
        </w:rPr>
      </w:pPr>
    </w:p>
    <w:p w:rsidR="005E181F" w:rsidRPr="005E181F" w:rsidRDefault="005E181F" w:rsidP="00C82E63">
      <w:pPr>
        <w:rPr>
          <w:rFonts w:cs="Times New Roman"/>
          <w:szCs w:val="24"/>
        </w:rPr>
      </w:pPr>
    </w:p>
    <w:p w:rsidR="005E181F" w:rsidRPr="005E181F" w:rsidRDefault="005E181F" w:rsidP="00C82E63">
      <w:pPr>
        <w:rPr>
          <w:rFonts w:cs="Times New Roman"/>
          <w:szCs w:val="24"/>
        </w:rPr>
      </w:pPr>
    </w:p>
    <w:p w:rsidR="005E181F" w:rsidRPr="005E181F" w:rsidRDefault="005E181F" w:rsidP="005E181F">
      <w:pPr>
        <w:shd w:val="clear" w:color="auto" w:fill="FFFFFF"/>
        <w:spacing w:after="0" w:line="240" w:lineRule="auto"/>
        <w:jc w:val="center"/>
        <w:rPr>
          <w:rFonts w:eastAsia="Times New Roman" w:cs="Times New Roman"/>
          <w:szCs w:val="24"/>
        </w:rPr>
      </w:pPr>
      <w:r w:rsidRPr="005E181F">
        <w:rPr>
          <w:rFonts w:eastAsia="Times New Roman" w:cs="Times New Roman"/>
          <w:szCs w:val="24"/>
        </w:rPr>
        <w:t>References</w:t>
      </w:r>
    </w:p>
    <w:p w:rsidR="005E181F" w:rsidRPr="005E181F" w:rsidRDefault="005E181F" w:rsidP="005E181F">
      <w:pPr>
        <w:shd w:val="clear" w:color="auto" w:fill="FFFFFF"/>
        <w:spacing w:after="0" w:line="550" w:lineRule="atLeast"/>
        <w:ind w:left="720" w:right="75" w:hanging="720"/>
        <w:rPr>
          <w:rFonts w:eastAsia="Times New Roman" w:cs="Times New Roman"/>
          <w:szCs w:val="24"/>
        </w:rPr>
      </w:pPr>
      <w:r w:rsidRPr="005E181F">
        <w:rPr>
          <w:rFonts w:eastAsia="Times New Roman" w:cs="Times New Roman"/>
          <w:szCs w:val="24"/>
        </w:rPr>
        <w:lastRenderedPageBreak/>
        <w:t>Cooper, Z., Nguyen, H., Shekita, N., &amp; Morton, F. S. (2020). Out-of-Network billing and negotiated payments for hospital-based physicians. </w:t>
      </w:r>
      <w:r w:rsidRPr="005E181F">
        <w:rPr>
          <w:rFonts w:eastAsia="Times New Roman" w:cs="Times New Roman"/>
          <w:i/>
          <w:iCs/>
          <w:szCs w:val="24"/>
        </w:rPr>
        <w:t>Health Affairs</w:t>
      </w:r>
      <w:r w:rsidRPr="005E181F">
        <w:rPr>
          <w:rFonts w:eastAsia="Times New Roman" w:cs="Times New Roman"/>
          <w:szCs w:val="24"/>
        </w:rPr>
        <w:t>, </w:t>
      </w:r>
      <w:r w:rsidRPr="005E181F">
        <w:rPr>
          <w:rFonts w:eastAsia="Times New Roman" w:cs="Times New Roman"/>
          <w:i/>
          <w:iCs/>
          <w:szCs w:val="24"/>
        </w:rPr>
        <w:t>39</w:t>
      </w:r>
      <w:r w:rsidRPr="005E181F">
        <w:rPr>
          <w:rFonts w:eastAsia="Times New Roman" w:cs="Times New Roman"/>
          <w:szCs w:val="24"/>
        </w:rPr>
        <w:t>(1), 24-32. </w:t>
      </w:r>
      <w:hyperlink r:id="rId6" w:history="1">
        <w:r w:rsidRPr="005E181F">
          <w:rPr>
            <w:rFonts w:eastAsia="Times New Roman" w:cs="Times New Roman"/>
            <w:szCs w:val="24"/>
          </w:rPr>
          <w:t>https://doi.org/10.1377/hlthaff.2019.00507</w:t>
        </w:r>
      </w:hyperlink>
    </w:p>
    <w:p w:rsidR="005E181F" w:rsidRPr="005E181F" w:rsidRDefault="005E181F" w:rsidP="005E181F">
      <w:pPr>
        <w:shd w:val="clear" w:color="auto" w:fill="FFFFFF"/>
        <w:spacing w:after="0" w:line="550" w:lineRule="atLeast"/>
        <w:ind w:left="720" w:right="75" w:hanging="720"/>
        <w:rPr>
          <w:rFonts w:eastAsia="Times New Roman" w:cs="Times New Roman"/>
          <w:szCs w:val="24"/>
        </w:rPr>
      </w:pPr>
      <w:r w:rsidRPr="005E181F">
        <w:rPr>
          <w:rFonts w:eastAsia="Times New Roman" w:cs="Times New Roman"/>
          <w:szCs w:val="24"/>
        </w:rPr>
        <w:t>Corlette, S. C., Lucia, K. W., &amp; Giovannelli, J. G. (2015). Implementing the Affordable Care Act: State regulation of marketplace plan provider networks. </w:t>
      </w:r>
      <w:hyperlink r:id="rId7" w:history="1">
        <w:r w:rsidRPr="005E181F">
          <w:rPr>
            <w:rFonts w:eastAsia="Times New Roman" w:cs="Times New Roman"/>
            <w:szCs w:val="24"/>
          </w:rPr>
          <w:t>https://doi.org/10.15868/socialsector.25030</w:t>
        </w:r>
      </w:hyperlink>
    </w:p>
    <w:p w:rsidR="005E181F" w:rsidRPr="005E181F" w:rsidRDefault="005E181F" w:rsidP="005E181F">
      <w:pPr>
        <w:shd w:val="clear" w:color="auto" w:fill="FFFFFF"/>
        <w:spacing w:after="0" w:line="550" w:lineRule="atLeast"/>
        <w:ind w:left="720" w:right="75" w:hanging="720"/>
        <w:rPr>
          <w:rFonts w:eastAsia="Times New Roman" w:cs="Times New Roman"/>
          <w:szCs w:val="24"/>
        </w:rPr>
      </w:pPr>
      <w:r w:rsidRPr="005E181F">
        <w:rPr>
          <w:rFonts w:eastAsia="Times New Roman" w:cs="Times New Roman"/>
          <w:szCs w:val="24"/>
        </w:rPr>
        <w:t>Kelleher, K. J., Cooper, J., Deans, K., Carr, P., Brilli, R. J., Allen, S., &amp; Gardner, W. (2015). Cost saving and quality of care in a pediatric accountable care organization. </w:t>
      </w:r>
      <w:r w:rsidRPr="005E181F">
        <w:rPr>
          <w:rFonts w:eastAsia="Times New Roman" w:cs="Times New Roman"/>
          <w:i/>
          <w:iCs/>
          <w:szCs w:val="24"/>
        </w:rPr>
        <w:t>PEDIATRICS</w:t>
      </w:r>
      <w:r w:rsidRPr="005E181F">
        <w:rPr>
          <w:rFonts w:eastAsia="Times New Roman" w:cs="Times New Roman"/>
          <w:szCs w:val="24"/>
        </w:rPr>
        <w:t>, </w:t>
      </w:r>
      <w:r w:rsidRPr="005E181F">
        <w:rPr>
          <w:rFonts w:eastAsia="Times New Roman" w:cs="Times New Roman"/>
          <w:i/>
          <w:iCs/>
          <w:szCs w:val="24"/>
        </w:rPr>
        <w:t>135</w:t>
      </w:r>
      <w:r w:rsidRPr="005E181F">
        <w:rPr>
          <w:rFonts w:eastAsia="Times New Roman" w:cs="Times New Roman"/>
          <w:szCs w:val="24"/>
        </w:rPr>
        <w:t>(3), e582-e589. </w:t>
      </w:r>
      <w:hyperlink r:id="rId8" w:history="1">
        <w:r w:rsidRPr="005E181F">
          <w:rPr>
            <w:rFonts w:eastAsia="Times New Roman" w:cs="Times New Roman"/>
            <w:szCs w:val="24"/>
          </w:rPr>
          <w:t>https://doi.org/10.1542/peds.2014-2725</w:t>
        </w:r>
      </w:hyperlink>
    </w:p>
    <w:p w:rsidR="005E181F" w:rsidRPr="005E181F" w:rsidRDefault="005E181F" w:rsidP="005E181F">
      <w:pPr>
        <w:shd w:val="clear" w:color="auto" w:fill="FFFFFF"/>
        <w:spacing w:after="0" w:line="550" w:lineRule="atLeast"/>
        <w:ind w:left="720" w:right="75" w:hanging="720"/>
        <w:rPr>
          <w:rFonts w:eastAsia="Times New Roman" w:cs="Times New Roman"/>
          <w:szCs w:val="24"/>
        </w:rPr>
      </w:pPr>
      <w:r w:rsidRPr="005E181F">
        <w:rPr>
          <w:rFonts w:eastAsia="Times New Roman" w:cs="Times New Roman"/>
          <w:szCs w:val="24"/>
        </w:rPr>
        <w:t>Readers' challenge report: The Monty hall problem. (2013). </w:t>
      </w:r>
      <w:r w:rsidRPr="005E181F">
        <w:rPr>
          <w:rFonts w:eastAsia="Times New Roman" w:cs="Times New Roman"/>
          <w:i/>
          <w:iCs/>
          <w:szCs w:val="24"/>
        </w:rPr>
        <w:t>Significance</w:t>
      </w:r>
      <w:r w:rsidRPr="005E181F">
        <w:rPr>
          <w:rFonts w:eastAsia="Times New Roman" w:cs="Times New Roman"/>
          <w:szCs w:val="24"/>
        </w:rPr>
        <w:t>, </w:t>
      </w:r>
      <w:r w:rsidRPr="005E181F">
        <w:rPr>
          <w:rFonts w:eastAsia="Times New Roman" w:cs="Times New Roman"/>
          <w:i/>
          <w:iCs/>
          <w:szCs w:val="24"/>
        </w:rPr>
        <w:t>10</w:t>
      </w:r>
      <w:r w:rsidRPr="005E181F">
        <w:rPr>
          <w:rFonts w:eastAsia="Times New Roman" w:cs="Times New Roman"/>
          <w:szCs w:val="24"/>
        </w:rPr>
        <w:t>(5), 32-33. </w:t>
      </w:r>
      <w:hyperlink r:id="rId9" w:history="1">
        <w:r w:rsidRPr="005E181F">
          <w:rPr>
            <w:rFonts w:eastAsia="Times New Roman" w:cs="Times New Roman"/>
            <w:szCs w:val="24"/>
          </w:rPr>
          <w:t>https://doi.org/10.1111/j.1740-9713.2013.00696.x</w:t>
        </w:r>
      </w:hyperlink>
    </w:p>
    <w:p w:rsidR="005E181F" w:rsidRPr="005E181F" w:rsidRDefault="005E181F" w:rsidP="005E181F">
      <w:pPr>
        <w:shd w:val="clear" w:color="auto" w:fill="FFFFFF"/>
        <w:spacing w:after="0" w:line="550" w:lineRule="atLeast"/>
        <w:ind w:left="720" w:right="75" w:hanging="720"/>
        <w:rPr>
          <w:rFonts w:eastAsia="Times New Roman" w:cs="Times New Roman"/>
          <w:szCs w:val="24"/>
        </w:rPr>
      </w:pPr>
      <w:r w:rsidRPr="005E181F">
        <w:rPr>
          <w:rFonts w:eastAsia="Times New Roman" w:cs="Times New Roman"/>
          <w:szCs w:val="24"/>
        </w:rPr>
        <w:t>Vasko, F. J. (2012). Ask Marilyn in the mathematics classroom: Probability questions. </w:t>
      </w:r>
      <w:r w:rsidRPr="005E181F">
        <w:rPr>
          <w:rFonts w:eastAsia="Times New Roman" w:cs="Times New Roman"/>
          <w:i/>
          <w:iCs/>
          <w:szCs w:val="24"/>
        </w:rPr>
        <w:t>International Journal of Mathematical Education in Science and Technology</w:t>
      </w:r>
      <w:r w:rsidRPr="005E181F">
        <w:rPr>
          <w:rFonts w:eastAsia="Times New Roman" w:cs="Times New Roman"/>
          <w:szCs w:val="24"/>
        </w:rPr>
        <w:t>, </w:t>
      </w:r>
      <w:r w:rsidRPr="005E181F">
        <w:rPr>
          <w:rFonts w:eastAsia="Times New Roman" w:cs="Times New Roman"/>
          <w:i/>
          <w:iCs/>
          <w:szCs w:val="24"/>
        </w:rPr>
        <w:t>43</w:t>
      </w:r>
      <w:r w:rsidRPr="005E181F">
        <w:rPr>
          <w:rFonts w:eastAsia="Times New Roman" w:cs="Times New Roman"/>
          <w:szCs w:val="24"/>
        </w:rPr>
        <w:t>(4), 499-503. </w:t>
      </w:r>
      <w:hyperlink r:id="rId10" w:history="1">
        <w:r w:rsidRPr="005E181F">
          <w:rPr>
            <w:rFonts w:eastAsia="Times New Roman" w:cs="Times New Roman"/>
            <w:szCs w:val="24"/>
          </w:rPr>
          <w:t>https://doi.org/10.1080/0020739x.2011.592617</w:t>
        </w:r>
      </w:hyperlink>
    </w:p>
    <w:p w:rsidR="005E181F" w:rsidRPr="005E181F" w:rsidRDefault="005E181F" w:rsidP="00C82E63">
      <w:pPr>
        <w:rPr>
          <w:rFonts w:cs="Times New Roman"/>
          <w:szCs w:val="24"/>
        </w:rPr>
      </w:pPr>
    </w:p>
    <w:sectPr w:rsidR="005E181F" w:rsidRPr="005E181F">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1357B" w:rsidRDefault="0061357B">
      <w:pPr>
        <w:spacing w:after="0" w:line="240" w:lineRule="auto"/>
      </w:pPr>
      <w:r>
        <w:separator/>
      </w:r>
    </w:p>
  </w:endnote>
  <w:endnote w:type="continuationSeparator" w:id="0">
    <w:p w:rsidR="0061357B" w:rsidRDefault="006135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1357B" w:rsidRDefault="0061357B">
      <w:pPr>
        <w:spacing w:after="0" w:line="240" w:lineRule="auto"/>
      </w:pPr>
      <w:r>
        <w:separator/>
      </w:r>
    </w:p>
  </w:footnote>
  <w:footnote w:type="continuationSeparator" w:id="0">
    <w:p w:rsidR="0061357B" w:rsidRDefault="006135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59243188"/>
      <w:docPartObj>
        <w:docPartGallery w:val="Page Numbers (Top of Page)"/>
        <w:docPartUnique/>
      </w:docPartObj>
    </w:sdtPr>
    <w:sdtEndPr>
      <w:rPr>
        <w:noProof/>
      </w:rPr>
    </w:sdtEndPr>
    <w:sdtContent>
      <w:p w:rsidR="00EA5F2B" w:rsidRDefault="00E24098">
        <w:pPr>
          <w:pStyle w:val="Header"/>
          <w:jc w:val="right"/>
        </w:pPr>
        <w:r>
          <w:fldChar w:fldCharType="begin"/>
        </w:r>
        <w:r>
          <w:instrText xml:space="preserve"> PAGE   \* MERGEFORMAT </w:instrText>
        </w:r>
        <w:r>
          <w:fldChar w:fldCharType="separate"/>
        </w:r>
        <w:r w:rsidR="005E181F">
          <w:rPr>
            <w:noProof/>
          </w:rPr>
          <w:t>4</w:t>
        </w:r>
        <w:r>
          <w:rPr>
            <w:noProof/>
          </w:rPr>
          <w:fldChar w:fldCharType="end"/>
        </w:r>
      </w:p>
    </w:sdtContent>
  </w:sdt>
  <w:p w:rsidR="00EA5F2B" w:rsidRDefault="00EA5F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5F2B"/>
    <w:rsid w:val="000007A3"/>
    <w:rsid w:val="00000E08"/>
    <w:rsid w:val="00187C12"/>
    <w:rsid w:val="00251A20"/>
    <w:rsid w:val="002665AD"/>
    <w:rsid w:val="005E181F"/>
    <w:rsid w:val="006038E4"/>
    <w:rsid w:val="0061357B"/>
    <w:rsid w:val="00817D48"/>
    <w:rsid w:val="00901A4A"/>
    <w:rsid w:val="00A424E3"/>
    <w:rsid w:val="00AB4EB5"/>
    <w:rsid w:val="00C7143D"/>
    <w:rsid w:val="00C82E63"/>
    <w:rsid w:val="00C918D7"/>
    <w:rsid w:val="00CB57B6"/>
    <w:rsid w:val="00CF1B8D"/>
    <w:rsid w:val="00D71A5C"/>
    <w:rsid w:val="00E24098"/>
    <w:rsid w:val="00EA5F2B"/>
    <w:rsid w:val="00EC67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50B33D-AF95-44D0-A417-D628CFE17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5F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5F2B"/>
  </w:style>
  <w:style w:type="paragraph" w:styleId="Footer">
    <w:name w:val="footer"/>
    <w:basedOn w:val="Normal"/>
    <w:link w:val="FooterChar"/>
    <w:uiPriority w:val="99"/>
    <w:unhideWhenUsed/>
    <w:rsid w:val="00EA5F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5F2B"/>
  </w:style>
  <w:style w:type="paragraph" w:styleId="Subtitle">
    <w:name w:val="Subtitle"/>
    <w:basedOn w:val="Normal"/>
    <w:next w:val="Normal"/>
    <w:link w:val="SubtitleChar"/>
    <w:uiPriority w:val="11"/>
    <w:qFormat/>
    <w:rsid w:val="006038E4"/>
    <w:pPr>
      <w:numPr>
        <w:ilvl w:val="1"/>
      </w:numPr>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rsid w:val="006038E4"/>
    <w:rPr>
      <w:rFonts w:asciiTheme="minorHAnsi" w:eastAsiaTheme="minorEastAsia" w:hAnsiTheme="minorHAnsi"/>
      <w:color w:val="5A5A5A" w:themeColor="text1" w:themeTint="A5"/>
      <w:spacing w:val="15"/>
      <w:sz w:val="22"/>
    </w:rPr>
  </w:style>
  <w:style w:type="character" w:customStyle="1" w:styleId="gray">
    <w:name w:val="gray"/>
    <w:basedOn w:val="DefaultParagraphFont"/>
    <w:rsid w:val="005E181F"/>
  </w:style>
  <w:style w:type="paragraph" w:styleId="NormalWeb">
    <w:name w:val="Normal (Web)"/>
    <w:basedOn w:val="Normal"/>
    <w:uiPriority w:val="99"/>
    <w:semiHidden/>
    <w:unhideWhenUsed/>
    <w:rsid w:val="005E181F"/>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5E181F"/>
    <w:rPr>
      <w:i/>
      <w:iCs/>
    </w:rPr>
  </w:style>
  <w:style w:type="character" w:styleId="Hyperlink">
    <w:name w:val="Hyperlink"/>
    <w:basedOn w:val="DefaultParagraphFont"/>
    <w:uiPriority w:val="99"/>
    <w:semiHidden/>
    <w:unhideWhenUsed/>
    <w:rsid w:val="005E181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417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542/peds.2014-2725" TargetMode="External" /><Relationship Id="rId13"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hyperlink" Target="https://doi.org/10.15868/socialsector.25030" TargetMode="External" /><Relationship Id="rId12"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1377/hlthaff.2019.00507" TargetMode="External" /><Relationship Id="rId11" Type="http://schemas.openxmlformats.org/officeDocument/2006/relationships/header" Target="header1.xml" /><Relationship Id="rId5" Type="http://schemas.openxmlformats.org/officeDocument/2006/relationships/endnotes" Target="endnotes.xml" /><Relationship Id="rId10" Type="http://schemas.openxmlformats.org/officeDocument/2006/relationships/hyperlink" Target="https://doi.org/10.1080/0020739x.2011.592617" TargetMode="External" /><Relationship Id="rId4" Type="http://schemas.openxmlformats.org/officeDocument/2006/relationships/footnotes" Target="footnotes.xml" /><Relationship Id="rId9" Type="http://schemas.openxmlformats.org/officeDocument/2006/relationships/hyperlink" Target="https://doi.org/10.1111/j.1740-9713.2013.00696.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855</Words>
  <Characters>4879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254716226303</cp:lastModifiedBy>
  <cp:revision>2</cp:revision>
  <dcterms:created xsi:type="dcterms:W3CDTF">2020-09-14T01:57:00Z</dcterms:created>
  <dcterms:modified xsi:type="dcterms:W3CDTF">2020-09-14T01:57:00Z</dcterms:modified>
</cp:coreProperties>
</file>